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2F4FD" w14:textId="77777777" w:rsidR="00D95C25" w:rsidRPr="00D95C25" w:rsidRDefault="00D95C25" w:rsidP="00D95C25">
      <w:pPr>
        <w:pStyle w:val="Heading1"/>
      </w:pPr>
      <w:r w:rsidRPr="00D95C25">
        <w:t>Data Protection &amp; GDPR Policy</w:t>
      </w:r>
    </w:p>
    <w:p w14:paraId="393D4D60" w14:textId="77777777" w:rsidR="00D95C25" w:rsidRPr="00D95C25" w:rsidRDefault="00D95C25" w:rsidP="00D95C25">
      <w:pPr>
        <w:pStyle w:val="Heading1"/>
      </w:pPr>
      <w:r w:rsidRPr="00D95C25">
        <w:t>3D Global Financial Services Ltd</w:t>
      </w:r>
    </w:p>
    <w:p w14:paraId="7FCE2FF1" w14:textId="77777777" w:rsidR="00D95C25" w:rsidRPr="00D95C25" w:rsidRDefault="00D95C25" w:rsidP="00D95C25">
      <w:pPr>
        <w:jc w:val="left"/>
      </w:pPr>
      <w:r w:rsidRPr="00D95C25">
        <w:rPr>
          <w:b/>
          <w:bCs/>
        </w:rPr>
        <w:t>Effective Date:</w:t>
      </w:r>
      <w:r w:rsidRPr="00D95C25">
        <w:t xml:space="preserve"> 1 March 2026</w:t>
      </w:r>
      <w:r w:rsidRPr="00D95C25">
        <w:br/>
      </w:r>
      <w:r w:rsidRPr="00D95C25">
        <w:rPr>
          <w:b/>
          <w:bCs/>
        </w:rPr>
        <w:t>Review Date:</w:t>
      </w:r>
      <w:r w:rsidRPr="00D95C25">
        <w:t xml:space="preserve"> 1 March 2027</w:t>
      </w:r>
      <w:r w:rsidRPr="00D95C25">
        <w:br/>
      </w:r>
      <w:r w:rsidRPr="00D95C25">
        <w:rPr>
          <w:b/>
          <w:bCs/>
        </w:rPr>
        <w:t>Approved by:</w:t>
      </w:r>
      <w:r w:rsidRPr="00D95C25">
        <w:t xml:space="preserve"> Board of Directors</w:t>
      </w:r>
    </w:p>
    <w:p w14:paraId="67BFFB0D" w14:textId="77777777" w:rsidR="00D95C25" w:rsidRPr="00D95C25" w:rsidRDefault="00D95C25" w:rsidP="00D95C25">
      <w:pPr>
        <w:pStyle w:val="Heading2"/>
      </w:pPr>
      <w:r w:rsidRPr="00D95C25">
        <w:t>1. Purpose</w:t>
      </w:r>
    </w:p>
    <w:p w14:paraId="4B0F006F" w14:textId="77777777" w:rsidR="00D95C25" w:rsidRPr="00D95C25" w:rsidRDefault="00D95C25" w:rsidP="00D95C25">
      <w:r w:rsidRPr="00D95C25">
        <w:t>This Policy sets out the principles, governance framework, and operational controls applied by 3D Global Financial Services Ltd (the “Firm”) to ensure compliance with Regulation (EU) 2016/679 (General Data Protection Regulation – “GDPR”), applicable Cyprus data protection legislation, MiFID II record-keeping requirements, and Cyprus Securities and Exchange Commission (“CySEC”) rules.</w:t>
      </w:r>
    </w:p>
    <w:p w14:paraId="19906C95" w14:textId="77777777" w:rsidR="00D95C25" w:rsidRPr="00D95C25" w:rsidRDefault="00D95C25" w:rsidP="00D95C25">
      <w:r w:rsidRPr="00D95C25">
        <w:t xml:space="preserve">The Policy is designed to ensure the lawful, fair, and transparent processing of personal data, while </w:t>
      </w:r>
      <w:proofErr w:type="spellStart"/>
      <w:r w:rsidRPr="00D95C25">
        <w:t>recognising</w:t>
      </w:r>
      <w:proofErr w:type="spellEnd"/>
      <w:r w:rsidRPr="00D95C25">
        <w:t xml:space="preserve"> the Firm’s regulatory obligations to retain records for prescribed minimum periods.</w:t>
      </w:r>
    </w:p>
    <w:p w14:paraId="70110297" w14:textId="77777777" w:rsidR="00D95C25" w:rsidRPr="00D95C25" w:rsidRDefault="00D95C25" w:rsidP="00D95C25">
      <w:pPr>
        <w:pStyle w:val="Heading2"/>
      </w:pPr>
      <w:r w:rsidRPr="00D95C25">
        <w:t>2. Scope</w:t>
      </w:r>
    </w:p>
    <w:p w14:paraId="579D4E3E" w14:textId="77777777" w:rsidR="00D95C25" w:rsidRPr="00D95C25" w:rsidRDefault="00D95C25" w:rsidP="00D95C25">
      <w:r w:rsidRPr="00D95C25">
        <w:t>This Policy applies to:</w:t>
      </w:r>
    </w:p>
    <w:p w14:paraId="48CF963C" w14:textId="77777777" w:rsidR="00D95C25" w:rsidRPr="00D95C25" w:rsidRDefault="00D95C25" w:rsidP="00D95C25">
      <w:pPr>
        <w:pStyle w:val="ListParagraph"/>
        <w:numPr>
          <w:ilvl w:val="0"/>
          <w:numId w:val="1"/>
        </w:numPr>
      </w:pPr>
      <w:r w:rsidRPr="00D95C25">
        <w:t xml:space="preserve">All personal data processed by the </w:t>
      </w:r>
      <w:proofErr w:type="gramStart"/>
      <w:r w:rsidRPr="00D95C25">
        <w:t>Firm;</w:t>
      </w:r>
      <w:proofErr w:type="gramEnd"/>
    </w:p>
    <w:p w14:paraId="5EC36359" w14:textId="77777777" w:rsidR="00D95C25" w:rsidRPr="00D95C25" w:rsidRDefault="00D95C25" w:rsidP="00D95C25">
      <w:pPr>
        <w:pStyle w:val="ListParagraph"/>
        <w:numPr>
          <w:ilvl w:val="0"/>
          <w:numId w:val="1"/>
        </w:numPr>
      </w:pPr>
      <w:r w:rsidRPr="00D95C25">
        <w:t xml:space="preserve">All employees, directors, agents, appointed representatives, contractors, and third parties acting on behalf of the </w:t>
      </w:r>
      <w:proofErr w:type="gramStart"/>
      <w:r w:rsidRPr="00D95C25">
        <w:t>Firm;</w:t>
      </w:r>
      <w:proofErr w:type="gramEnd"/>
    </w:p>
    <w:p w14:paraId="08C72839" w14:textId="77777777" w:rsidR="00D95C25" w:rsidRPr="00D95C25" w:rsidRDefault="00D95C25" w:rsidP="00D95C25">
      <w:pPr>
        <w:pStyle w:val="ListParagraph"/>
        <w:numPr>
          <w:ilvl w:val="0"/>
          <w:numId w:val="1"/>
        </w:numPr>
      </w:pPr>
      <w:r w:rsidRPr="00D95C25">
        <w:t>All processing activities undertaken in the context of providing investment and insurance-related services.</w:t>
      </w:r>
    </w:p>
    <w:p w14:paraId="5FCB94E3" w14:textId="77777777" w:rsidR="00D95C25" w:rsidRPr="00D95C25" w:rsidRDefault="00D95C25" w:rsidP="00D95C25">
      <w:pPr>
        <w:pStyle w:val="Heading2"/>
      </w:pPr>
      <w:r w:rsidRPr="00D95C25">
        <w:t>3. Definitions</w:t>
      </w:r>
    </w:p>
    <w:p w14:paraId="201BC24D" w14:textId="77777777" w:rsidR="00D95C25" w:rsidRPr="00D95C25" w:rsidRDefault="00D95C25" w:rsidP="00D95C25">
      <w:pPr>
        <w:pStyle w:val="ListParagraph"/>
        <w:numPr>
          <w:ilvl w:val="0"/>
          <w:numId w:val="2"/>
        </w:numPr>
      </w:pPr>
      <w:r w:rsidRPr="00D95C25">
        <w:rPr>
          <w:b/>
          <w:bCs/>
        </w:rPr>
        <w:t>Personal Data:</w:t>
      </w:r>
      <w:r w:rsidRPr="00D95C25">
        <w:t xml:space="preserve"> Any information relating to an identified or identifiable natural person.</w:t>
      </w:r>
    </w:p>
    <w:p w14:paraId="63F9C4C9" w14:textId="77777777" w:rsidR="00D95C25" w:rsidRPr="00D95C25" w:rsidRDefault="00D95C25" w:rsidP="00D95C25">
      <w:pPr>
        <w:pStyle w:val="ListParagraph"/>
        <w:numPr>
          <w:ilvl w:val="0"/>
          <w:numId w:val="2"/>
        </w:numPr>
      </w:pPr>
      <w:r w:rsidRPr="00D95C25">
        <w:rPr>
          <w:b/>
          <w:bCs/>
        </w:rPr>
        <w:t>Special Category Data:</w:t>
      </w:r>
      <w:r w:rsidRPr="00D95C25">
        <w:t xml:space="preserve"> Personal data revealing racial or ethnic origin, political opinions, religious beliefs, trade union membership, genetic data, biometric data, health data, or data concerning a person’s sex life or sexual orientation.</w:t>
      </w:r>
    </w:p>
    <w:p w14:paraId="7FFF316D" w14:textId="77777777" w:rsidR="00D95C25" w:rsidRPr="00D95C25" w:rsidRDefault="00D95C25" w:rsidP="00D95C25">
      <w:pPr>
        <w:pStyle w:val="ListParagraph"/>
        <w:numPr>
          <w:ilvl w:val="0"/>
          <w:numId w:val="2"/>
        </w:numPr>
      </w:pPr>
      <w:r w:rsidRPr="00D95C25">
        <w:rPr>
          <w:b/>
          <w:bCs/>
        </w:rPr>
        <w:t>Processing:</w:t>
      </w:r>
      <w:r w:rsidRPr="00D95C25">
        <w:t xml:space="preserve"> Any operation performed on personal data, whether automated or manual.</w:t>
      </w:r>
    </w:p>
    <w:p w14:paraId="7C181DB4" w14:textId="77777777" w:rsidR="00D95C25" w:rsidRPr="00D95C25" w:rsidRDefault="00D95C25" w:rsidP="00D95C25">
      <w:pPr>
        <w:pStyle w:val="ListParagraph"/>
        <w:numPr>
          <w:ilvl w:val="0"/>
          <w:numId w:val="2"/>
        </w:numPr>
      </w:pPr>
      <w:r w:rsidRPr="00D95C25">
        <w:rPr>
          <w:b/>
          <w:bCs/>
        </w:rPr>
        <w:t>Data Subject:</w:t>
      </w:r>
      <w:r w:rsidRPr="00D95C25">
        <w:t xml:space="preserve"> The individual to whom personal data relates.</w:t>
      </w:r>
    </w:p>
    <w:p w14:paraId="44386D03" w14:textId="77777777" w:rsidR="00D95C25" w:rsidRPr="00D95C25" w:rsidRDefault="00D95C25" w:rsidP="00D95C25">
      <w:pPr>
        <w:pStyle w:val="ListParagraph"/>
        <w:numPr>
          <w:ilvl w:val="0"/>
          <w:numId w:val="2"/>
        </w:numPr>
      </w:pPr>
      <w:proofErr w:type="spellStart"/>
      <w:r w:rsidRPr="00D95C25">
        <w:rPr>
          <w:b/>
          <w:bCs/>
        </w:rPr>
        <w:t>RoPA</w:t>
      </w:r>
      <w:proofErr w:type="spellEnd"/>
      <w:r w:rsidRPr="00D95C25">
        <w:rPr>
          <w:b/>
          <w:bCs/>
        </w:rPr>
        <w:t>:</w:t>
      </w:r>
      <w:r w:rsidRPr="00D95C25">
        <w:t xml:space="preserve"> Record of Processing Activities under Article 30 GDPR.</w:t>
      </w:r>
    </w:p>
    <w:p w14:paraId="76D10D93" w14:textId="77777777" w:rsidR="00D95C25" w:rsidRPr="00D95C25" w:rsidRDefault="00D95C25" w:rsidP="00D95C25">
      <w:pPr>
        <w:pStyle w:val="Heading2"/>
      </w:pPr>
      <w:r w:rsidRPr="00D95C25">
        <w:lastRenderedPageBreak/>
        <w:t>4. Policy Statement</w:t>
      </w:r>
    </w:p>
    <w:p w14:paraId="19995C5C" w14:textId="77777777" w:rsidR="005C580C" w:rsidRDefault="005C580C" w:rsidP="005C580C">
      <w:r>
        <w:t xml:space="preserve">The Firm is committed to ensuring that personal data is processed in accordance with the principles set out in GDPR. Personal data is collected only for specified, explicit, and legitimate purposes and is limited to what is necessary to achieve those purposes. The Firm takes reasonable steps to ensure that personal data is accurate and, where necessary, kept up to date. Personal data is retained only for as long as necessary, subject always to applicable legal and regulatory retention requirements. Appropriate technical and </w:t>
      </w:r>
      <w:proofErr w:type="spellStart"/>
      <w:r>
        <w:t>organisational</w:t>
      </w:r>
      <w:proofErr w:type="spellEnd"/>
      <w:r>
        <w:t xml:space="preserve"> measures are implemented to protect personal data against </w:t>
      </w:r>
      <w:proofErr w:type="spellStart"/>
      <w:r>
        <w:t>unauthorised</w:t>
      </w:r>
      <w:proofErr w:type="spellEnd"/>
      <w:r>
        <w:t xml:space="preserve"> or unlawful processing, accidental loss, destruction, or damage. The Firm maintains appropriate documentation and records to demonstrate compliance and accountability.</w:t>
      </w:r>
      <w:r w:rsidRPr="00D95C25">
        <w:t xml:space="preserve"> </w:t>
      </w:r>
    </w:p>
    <w:p w14:paraId="183E5A3D" w14:textId="6D98CA64" w:rsidR="00D95C25" w:rsidRPr="00D95C25" w:rsidRDefault="00D95C25" w:rsidP="00D95C25">
      <w:pPr>
        <w:pStyle w:val="Heading2"/>
      </w:pPr>
      <w:r w:rsidRPr="00D95C25">
        <w:t>5. Lawful Bases for Processing</w:t>
      </w:r>
    </w:p>
    <w:p w14:paraId="2F655468" w14:textId="4C08E673" w:rsidR="005C580C" w:rsidRDefault="005C580C" w:rsidP="005C580C">
      <w:r>
        <w:t xml:space="preserve">The Firm processes personal data only where a lawful basis exists under GDPR. In most cases, processing is necessary for the performance of a contract with the data subject or to take steps at the request of the data subject prior to </w:t>
      </w:r>
      <w:proofErr w:type="gramStart"/>
      <w:r>
        <w:t>entering into</w:t>
      </w:r>
      <w:proofErr w:type="gramEnd"/>
      <w:r>
        <w:t xml:space="preserve"> a contract. Processing is also carried out where required to comply with legal or regulatory obligations, including obligations under MiFID II, anti-money laundering legislation, and CySEC rules. In certain circumstances, processing may be based on the Firm’s legitimate interests, provided that such interests are not overridden by the rights and freedoms of the data subject. Where required, the Firm relies on the data subject’s consent, which may be withdrawn at any time. Special category data is processed only where a specific condition under Article 9 GDPR applies, such as explicit consent or compliance with legal obligations.</w:t>
      </w:r>
    </w:p>
    <w:p w14:paraId="0A82F1D8" w14:textId="6F9B2EF5" w:rsidR="00D95C25" w:rsidRPr="00D95C25" w:rsidRDefault="00D95C25" w:rsidP="00D95C25">
      <w:pPr>
        <w:pStyle w:val="Heading2"/>
      </w:pPr>
      <w:r w:rsidRPr="00D95C25">
        <w:t>6. Record of Processing Activities (Article 30 GDPR)</w:t>
      </w:r>
    </w:p>
    <w:p w14:paraId="39B25A72" w14:textId="2A039A94" w:rsidR="005C580C" w:rsidRDefault="005C580C" w:rsidP="005C580C">
      <w:r>
        <w:t xml:space="preserve">The Firm maintains a written Record of Processing Activities in accordance with Article 30 of GDPR. This record documents the categories of personal data and data subjects, the purposes and lawful bases for processing, the categories of recipients, details of any international transfers, applicable retention periods, and the technical and </w:t>
      </w:r>
      <w:proofErr w:type="spellStart"/>
      <w:r>
        <w:t>organisational</w:t>
      </w:r>
      <w:proofErr w:type="spellEnd"/>
      <w:r>
        <w:t xml:space="preserve"> measures in place to protect personal data. The Record of Processing Activities is reviewed periodically and is aligned with the Firm’s Record-Keeping &amp; Data Protection Policy and wider compliance framework.</w:t>
      </w:r>
    </w:p>
    <w:p w14:paraId="614F094F" w14:textId="533F2D1C" w:rsidR="00D95C25" w:rsidRPr="00D95C25" w:rsidRDefault="00D95C25" w:rsidP="00D95C25">
      <w:pPr>
        <w:pStyle w:val="Heading2"/>
      </w:pPr>
      <w:r w:rsidRPr="00D95C25">
        <w:t>7. Data Retention &amp; Storage Limitation</w:t>
      </w:r>
    </w:p>
    <w:p w14:paraId="15E21324" w14:textId="3427A776" w:rsidR="005C580C" w:rsidRPr="00D95C25" w:rsidRDefault="005C580C" w:rsidP="00D95C25">
      <w:r>
        <w:t xml:space="preserve">Personal data is retained only for as long as necessary to fulfil the purposes for which it was collected, subject to statutory and regulatory minimum retention periods. </w:t>
      </w:r>
      <w:proofErr w:type="gramStart"/>
      <w:r>
        <w:t>In particular, personal</w:t>
      </w:r>
      <w:proofErr w:type="gramEnd"/>
      <w:r>
        <w:t xml:space="preserve"> data relating to client relationships, advice, suitability, </w:t>
      </w:r>
      <w:r>
        <w:lastRenderedPageBreak/>
        <w:t xml:space="preserve">transactions, and regulatory obligations is retained for a minimum period of seven years in accordance with MiFID II and CySEC requirements. Where data is required for the establishment, exercise, or defence of legal claims, it may be retained for longer periods </w:t>
      </w:r>
      <w:proofErr w:type="spellStart"/>
      <w:r>
        <w:t>where</w:t>
      </w:r>
      <w:proofErr w:type="spellEnd"/>
      <w:r>
        <w:t xml:space="preserve"> justified. Once applicable retention periods expire, personal data is securely deleted or destroyed in accordance with the Firm’s data retention and disposal procedures.</w:t>
      </w:r>
    </w:p>
    <w:p w14:paraId="7B21A4A7" w14:textId="77777777" w:rsidR="00D95C25" w:rsidRPr="00D95C25" w:rsidRDefault="00D95C25" w:rsidP="00D95C25">
      <w:pPr>
        <w:pStyle w:val="Heading2"/>
      </w:pPr>
      <w:r w:rsidRPr="00D95C25">
        <w:t>8. Data Subject Rights</w:t>
      </w:r>
    </w:p>
    <w:p w14:paraId="54B692C7" w14:textId="77777777" w:rsidR="00D95C25" w:rsidRPr="00D95C25" w:rsidRDefault="00D95C25" w:rsidP="00D95C25">
      <w:r w:rsidRPr="00D95C25">
        <w:t>The Firm respects all GDPR data subject rights, including:</w:t>
      </w:r>
    </w:p>
    <w:p w14:paraId="7B29BCB9" w14:textId="77777777" w:rsidR="00D95C25" w:rsidRPr="00D95C25" w:rsidRDefault="00D95C25" w:rsidP="00D95C25">
      <w:pPr>
        <w:pStyle w:val="ListParagraph"/>
        <w:numPr>
          <w:ilvl w:val="0"/>
          <w:numId w:val="7"/>
        </w:numPr>
      </w:pPr>
      <w:r w:rsidRPr="00D95C25">
        <w:t xml:space="preserve">Right to be </w:t>
      </w:r>
      <w:proofErr w:type="gramStart"/>
      <w:r w:rsidRPr="00D95C25">
        <w:t>informed;</w:t>
      </w:r>
      <w:proofErr w:type="gramEnd"/>
    </w:p>
    <w:p w14:paraId="0B39FCA5" w14:textId="77777777" w:rsidR="00D95C25" w:rsidRPr="00D95C25" w:rsidRDefault="00D95C25" w:rsidP="00D95C25">
      <w:pPr>
        <w:pStyle w:val="ListParagraph"/>
        <w:numPr>
          <w:ilvl w:val="0"/>
          <w:numId w:val="7"/>
        </w:numPr>
      </w:pPr>
      <w:r w:rsidRPr="00D95C25">
        <w:t xml:space="preserve">Right of </w:t>
      </w:r>
      <w:proofErr w:type="gramStart"/>
      <w:r w:rsidRPr="00D95C25">
        <w:t>access;</w:t>
      </w:r>
      <w:proofErr w:type="gramEnd"/>
    </w:p>
    <w:p w14:paraId="4A9E0DF2" w14:textId="77777777" w:rsidR="00D95C25" w:rsidRPr="00D95C25" w:rsidRDefault="00D95C25" w:rsidP="00D95C25">
      <w:pPr>
        <w:pStyle w:val="ListParagraph"/>
        <w:numPr>
          <w:ilvl w:val="0"/>
          <w:numId w:val="7"/>
        </w:numPr>
      </w:pPr>
      <w:r w:rsidRPr="00D95C25">
        <w:t xml:space="preserve">Right to </w:t>
      </w:r>
      <w:proofErr w:type="gramStart"/>
      <w:r w:rsidRPr="00D95C25">
        <w:t>rectification;</w:t>
      </w:r>
      <w:proofErr w:type="gramEnd"/>
    </w:p>
    <w:p w14:paraId="2C89EC1C" w14:textId="77777777" w:rsidR="00D95C25" w:rsidRPr="00D95C25" w:rsidRDefault="00D95C25" w:rsidP="00D95C25">
      <w:pPr>
        <w:pStyle w:val="ListParagraph"/>
        <w:numPr>
          <w:ilvl w:val="0"/>
          <w:numId w:val="7"/>
        </w:numPr>
      </w:pPr>
      <w:r w:rsidRPr="00D95C25">
        <w:t xml:space="preserve">Right to </w:t>
      </w:r>
      <w:proofErr w:type="gramStart"/>
      <w:r w:rsidRPr="00D95C25">
        <w:t>erasure;</w:t>
      </w:r>
      <w:proofErr w:type="gramEnd"/>
    </w:p>
    <w:p w14:paraId="4233B6ED" w14:textId="77777777" w:rsidR="00D95C25" w:rsidRPr="00D95C25" w:rsidRDefault="00D95C25" w:rsidP="00D95C25">
      <w:pPr>
        <w:pStyle w:val="ListParagraph"/>
        <w:numPr>
          <w:ilvl w:val="0"/>
          <w:numId w:val="7"/>
        </w:numPr>
      </w:pPr>
      <w:r w:rsidRPr="00D95C25">
        <w:t xml:space="preserve">Right to restriction of </w:t>
      </w:r>
      <w:proofErr w:type="gramStart"/>
      <w:r w:rsidRPr="00D95C25">
        <w:t>processing;</w:t>
      </w:r>
      <w:proofErr w:type="gramEnd"/>
    </w:p>
    <w:p w14:paraId="54FD8A3F" w14:textId="77777777" w:rsidR="00D95C25" w:rsidRPr="00D95C25" w:rsidRDefault="00D95C25" w:rsidP="00D95C25">
      <w:pPr>
        <w:pStyle w:val="ListParagraph"/>
        <w:numPr>
          <w:ilvl w:val="0"/>
          <w:numId w:val="7"/>
        </w:numPr>
      </w:pPr>
      <w:r w:rsidRPr="00D95C25">
        <w:t xml:space="preserve">Right to data </w:t>
      </w:r>
      <w:proofErr w:type="gramStart"/>
      <w:r w:rsidRPr="00D95C25">
        <w:t>portability;</w:t>
      </w:r>
      <w:proofErr w:type="gramEnd"/>
    </w:p>
    <w:p w14:paraId="1DAD7F29" w14:textId="77777777" w:rsidR="00D95C25" w:rsidRPr="00D95C25" w:rsidRDefault="00D95C25" w:rsidP="00D95C25">
      <w:pPr>
        <w:pStyle w:val="ListParagraph"/>
        <w:numPr>
          <w:ilvl w:val="0"/>
          <w:numId w:val="7"/>
        </w:numPr>
      </w:pPr>
      <w:r w:rsidRPr="00D95C25">
        <w:t xml:space="preserve">Right to </w:t>
      </w:r>
      <w:proofErr w:type="gramStart"/>
      <w:r w:rsidRPr="00D95C25">
        <w:t>object;</w:t>
      </w:r>
      <w:proofErr w:type="gramEnd"/>
    </w:p>
    <w:p w14:paraId="23F40D6E" w14:textId="77777777" w:rsidR="00D95C25" w:rsidRPr="00D95C25" w:rsidRDefault="00D95C25" w:rsidP="00D95C25">
      <w:pPr>
        <w:pStyle w:val="ListParagraph"/>
        <w:numPr>
          <w:ilvl w:val="0"/>
          <w:numId w:val="7"/>
        </w:numPr>
      </w:pPr>
      <w:r w:rsidRPr="00D95C25">
        <w:t>Rights relating to automated decision-making.</w:t>
      </w:r>
    </w:p>
    <w:p w14:paraId="64B3FE04" w14:textId="77777777" w:rsidR="00D95C25" w:rsidRPr="00D95C25" w:rsidRDefault="00D95C25" w:rsidP="00D95C25">
      <w:r w:rsidRPr="00D95C25">
        <w:t>Where processing is required to comply with legal or regulatory obligations, certain rights (including erasure) may be lawfully restricted. Data subjects are informed accordingly.</w:t>
      </w:r>
    </w:p>
    <w:p w14:paraId="6824BD1D" w14:textId="77777777" w:rsidR="00D95C25" w:rsidRPr="00D95C25" w:rsidRDefault="00D95C25" w:rsidP="00D95C25">
      <w:r w:rsidRPr="00D95C25">
        <w:t>Requests are handled without undue delay and within statutory timeframes.</w:t>
      </w:r>
    </w:p>
    <w:p w14:paraId="6572802F" w14:textId="77777777" w:rsidR="00D95C25" w:rsidRPr="00D95C25" w:rsidRDefault="00D95C25" w:rsidP="00D95C25">
      <w:pPr>
        <w:pStyle w:val="Heading2"/>
      </w:pPr>
      <w:r w:rsidRPr="00D95C25">
        <w:t>9. Automated Processing &amp; Profiling</w:t>
      </w:r>
    </w:p>
    <w:p w14:paraId="347F1735" w14:textId="24B9BE6E" w:rsidR="005C580C" w:rsidRPr="00D95C25" w:rsidRDefault="005C580C" w:rsidP="005C580C">
      <w:r>
        <w:t>The Firm does not currently engage in automated decision-making that produces legal or similarly significant effects for data subjects. Should automated processing or profiling be introduced in the future, the Firm will carry out an appropriate assessment, implement suitable safeguards, and ensure that data subjects are provided with the required information and protections in accordance with GDPR.</w:t>
      </w:r>
    </w:p>
    <w:p w14:paraId="1C54128C" w14:textId="77777777" w:rsidR="00D95C25" w:rsidRPr="00D95C25" w:rsidRDefault="00D95C25" w:rsidP="00D95C25">
      <w:pPr>
        <w:pStyle w:val="Heading2"/>
      </w:pPr>
      <w:r w:rsidRPr="00D95C25">
        <w:t>10. Data Security</w:t>
      </w:r>
    </w:p>
    <w:p w14:paraId="1BEE2479" w14:textId="7B4D56BB" w:rsidR="005C580C" w:rsidRPr="00D95C25" w:rsidRDefault="005C580C" w:rsidP="00D95C25">
      <w:r>
        <w:t xml:space="preserve">The Firm applies proportionate technical and </w:t>
      </w:r>
      <w:proofErr w:type="spellStart"/>
      <w:r>
        <w:t>organisational</w:t>
      </w:r>
      <w:proofErr w:type="spellEnd"/>
      <w:r>
        <w:t xml:space="preserve"> security measures to protect personal data. These measures include access controls and role-based permissions, encryption of data in transit and at rest, secure communication protocols, password and IT security controls, secure physical storage, and controls over the use of mobile and removable devices. Access to personal data is restricted to authorised individuals on a strict need-to-know basis.</w:t>
      </w:r>
    </w:p>
    <w:p w14:paraId="43899982" w14:textId="77777777" w:rsidR="00D95C25" w:rsidRPr="00D95C25" w:rsidRDefault="00D95C25" w:rsidP="00D95C25">
      <w:pPr>
        <w:pStyle w:val="Heading2"/>
      </w:pPr>
      <w:r w:rsidRPr="00D95C25">
        <w:lastRenderedPageBreak/>
        <w:t>11. Third-Party Processors &amp; International Transfers</w:t>
      </w:r>
    </w:p>
    <w:p w14:paraId="19DEC196" w14:textId="1A71ABEC" w:rsidR="005C580C" w:rsidRPr="00D95C25" w:rsidRDefault="005C580C" w:rsidP="00D95C25">
      <w:r>
        <w:t>Where personal data is processed by third parties on behalf of the Firm, appropriate written data processing agreements are in place, and processors are subject to due diligence and ongoing oversight. Personal data is transferred outside the European Economic Area only where GDPR-compliant safeguards apply, such as adequacy decisions, standard contractual clauses, or other approved transfer mechanisms.</w:t>
      </w:r>
    </w:p>
    <w:p w14:paraId="56CE3AB1" w14:textId="77777777" w:rsidR="00D95C25" w:rsidRPr="00D95C25" w:rsidRDefault="00D95C25" w:rsidP="00D95C25">
      <w:pPr>
        <w:pStyle w:val="Heading2"/>
      </w:pPr>
      <w:r w:rsidRPr="00D95C25">
        <w:t>12. Data Breach Management</w:t>
      </w:r>
    </w:p>
    <w:p w14:paraId="170AF8F7" w14:textId="4BC5CD51" w:rsidR="005C580C" w:rsidRPr="00D95C25" w:rsidRDefault="005C580C" w:rsidP="005C580C">
      <w:r>
        <w:t>All personal data breaches must be reported immediately to the Compliance function. The Firm maintains an internal data breach register and assesses each incident to determine whether notification to the supervisory authority and affected data subjects is required. Where notification is required, it is made without undue delay and, where applicable, within 72 hours. The Firm documents the circumstances of each breach, its effects, and the remedial actions taken.</w:t>
      </w:r>
    </w:p>
    <w:p w14:paraId="2D54AF0B" w14:textId="77777777" w:rsidR="00D95C25" w:rsidRPr="00D95C25" w:rsidRDefault="00D95C25" w:rsidP="00D95C25">
      <w:pPr>
        <w:pStyle w:val="Heading2"/>
      </w:pPr>
      <w:r w:rsidRPr="00D95C25">
        <w:t>13. Roles &amp; Responsibilities</w:t>
      </w:r>
    </w:p>
    <w:p w14:paraId="2A684BF0" w14:textId="5EB0C5AE" w:rsidR="005C580C" w:rsidRPr="00D95C25" w:rsidRDefault="005C580C" w:rsidP="005C580C">
      <w:r>
        <w:t>Ultimate accountability for data protection compliance rests with the Board of Directors. Day-to-day oversight of GDPR compliance, monitoring, training, and reporting is undertaken by the Compliance function, including the designated data protection role. All staff are responsible for handling personal data in accordance with this Policy and for reporting any actual or suspected data protection issues promptly.</w:t>
      </w:r>
    </w:p>
    <w:p w14:paraId="0DFC8EDA" w14:textId="77777777" w:rsidR="00D95C25" w:rsidRPr="00D95C25" w:rsidRDefault="00D95C25" w:rsidP="00D95C25">
      <w:pPr>
        <w:pStyle w:val="Heading2"/>
      </w:pPr>
      <w:r w:rsidRPr="00D95C25">
        <w:t>14. Training &amp; Awareness</w:t>
      </w:r>
    </w:p>
    <w:p w14:paraId="5952FD4A" w14:textId="5348DE3F" w:rsidR="005C580C" w:rsidRPr="00D95C25" w:rsidRDefault="005C580C" w:rsidP="00D95C25">
      <w:r>
        <w:t>The Firm ensures that relevant staff receive appropriate data protection training on induction and on an ongoing basis. Staff are required to understand and comply with this Policy and to acknowledge their data protection obligations.</w:t>
      </w:r>
    </w:p>
    <w:p w14:paraId="565854CB" w14:textId="77777777" w:rsidR="00D95C25" w:rsidRPr="00D95C25" w:rsidRDefault="00D95C25" w:rsidP="00D95C25">
      <w:pPr>
        <w:pStyle w:val="Heading2"/>
      </w:pPr>
      <w:r w:rsidRPr="00D95C25">
        <w:t>15. Monitoring &amp; Review</w:t>
      </w:r>
    </w:p>
    <w:p w14:paraId="1706882C" w14:textId="6BF87B38" w:rsidR="00D95C25" w:rsidRPr="00D95C25" w:rsidRDefault="00D95C25" w:rsidP="00D95C25">
      <w:r w:rsidRPr="00D95C25">
        <w:t>Compliance conducts periodic monitoring of data protection controls, record-keeping practices, and incident management.</w:t>
      </w:r>
      <w:r w:rsidR="005C580C">
        <w:t xml:space="preserve"> </w:t>
      </w:r>
      <w:r w:rsidRPr="00D95C25">
        <w:t xml:space="preserve">This Policy is reviewed </w:t>
      </w:r>
      <w:r w:rsidRPr="00D95C25">
        <w:rPr>
          <w:b/>
          <w:bCs/>
        </w:rPr>
        <w:t>at least annually</w:t>
      </w:r>
      <w:r w:rsidRPr="00D95C25">
        <w:t xml:space="preserve"> and sooner where required due to regulatory change, business change, or material incidents.</w:t>
      </w:r>
    </w:p>
    <w:p w14:paraId="2C6CABCF" w14:textId="77777777" w:rsidR="00D95C25" w:rsidRPr="00D95C25" w:rsidRDefault="00D95C25" w:rsidP="00D95C25">
      <w:pPr>
        <w:pStyle w:val="Heading2"/>
      </w:pPr>
      <w:r w:rsidRPr="00D95C25">
        <w:t>16. Approval</w:t>
      </w:r>
    </w:p>
    <w:p w14:paraId="6007EC34" w14:textId="77777777" w:rsidR="00D95C25" w:rsidRPr="00D95C25" w:rsidRDefault="00D95C25" w:rsidP="00D95C25">
      <w:r w:rsidRPr="00D95C25">
        <w:t>This Policy has been approved by the Board of Directors of 3D Global Financial Services Ltd and is effective from the date stated above.</w:t>
      </w:r>
    </w:p>
    <w:p w14:paraId="3A2B1194" w14:textId="77777777" w:rsidR="009A61D0" w:rsidRDefault="009A61D0" w:rsidP="00D95C25"/>
    <w:sectPr w:rsidR="009A61D0" w:rsidSect="007D2D8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T Serif">
    <w:altName w:val="PT Serif"/>
    <w:panose1 w:val="020A0603040505020204"/>
    <w:charset w:val="00"/>
    <w:family w:val="roman"/>
    <w:pitch w:val="variable"/>
    <w:sig w:usb0="A00002EF" w:usb1="5000204B" w:usb2="00000000" w:usb3="00000000" w:csb0="00000097" w:csb1="00000000"/>
  </w:font>
  <w:font w:name="Aptos">
    <w:panose1 w:val="020B0004020202020204"/>
    <w:charset w:val="00"/>
    <w:family w:val="swiss"/>
    <w:pitch w:val="variable"/>
    <w:sig w:usb0="20000287" w:usb1="00000003" w:usb2="00000000" w:usb3="00000000" w:csb0="0000019F" w:csb1="00000000"/>
  </w:font>
  <w:font w:name="Raleway">
    <w:panose1 w:val="020B0604020202020204"/>
    <w:charset w:val="4D"/>
    <w:family w:val="auto"/>
    <w:pitch w:val="variable"/>
    <w:sig w:usb0="A00002FF" w:usb1="5000205B" w:usb2="00000000" w:usb3="00000000" w:csb0="00000197"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2BA"/>
    <w:multiLevelType w:val="multilevel"/>
    <w:tmpl w:val="572A3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256B1"/>
    <w:multiLevelType w:val="multilevel"/>
    <w:tmpl w:val="04D82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931EF3"/>
    <w:multiLevelType w:val="multilevel"/>
    <w:tmpl w:val="1A708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9F0101"/>
    <w:multiLevelType w:val="multilevel"/>
    <w:tmpl w:val="7A4E8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CB7EB0"/>
    <w:multiLevelType w:val="multilevel"/>
    <w:tmpl w:val="ED66F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CD307D"/>
    <w:multiLevelType w:val="multilevel"/>
    <w:tmpl w:val="D38EA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8C1A4E"/>
    <w:multiLevelType w:val="multilevel"/>
    <w:tmpl w:val="8E4C6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0B3033"/>
    <w:multiLevelType w:val="multilevel"/>
    <w:tmpl w:val="B3A43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A37645"/>
    <w:multiLevelType w:val="multilevel"/>
    <w:tmpl w:val="FF482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3B77BE"/>
    <w:multiLevelType w:val="multilevel"/>
    <w:tmpl w:val="307E9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CA0142"/>
    <w:multiLevelType w:val="multilevel"/>
    <w:tmpl w:val="DAD22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BE4660"/>
    <w:multiLevelType w:val="multilevel"/>
    <w:tmpl w:val="05DE5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3421665">
    <w:abstractNumId w:val="7"/>
  </w:num>
  <w:num w:numId="2" w16cid:durableId="1144783792">
    <w:abstractNumId w:val="1"/>
  </w:num>
  <w:num w:numId="3" w16cid:durableId="544873415">
    <w:abstractNumId w:val="6"/>
  </w:num>
  <w:num w:numId="4" w16cid:durableId="1093477968">
    <w:abstractNumId w:val="10"/>
  </w:num>
  <w:num w:numId="5" w16cid:durableId="2141265812">
    <w:abstractNumId w:val="0"/>
  </w:num>
  <w:num w:numId="6" w16cid:durableId="1740203952">
    <w:abstractNumId w:val="8"/>
  </w:num>
  <w:num w:numId="7" w16cid:durableId="1123842971">
    <w:abstractNumId w:val="3"/>
  </w:num>
  <w:num w:numId="8" w16cid:durableId="1632587477">
    <w:abstractNumId w:val="9"/>
  </w:num>
  <w:num w:numId="9" w16cid:durableId="647713647">
    <w:abstractNumId w:val="2"/>
  </w:num>
  <w:num w:numId="10" w16cid:durableId="263463988">
    <w:abstractNumId w:val="4"/>
  </w:num>
  <w:num w:numId="11" w16cid:durableId="300817015">
    <w:abstractNumId w:val="5"/>
  </w:num>
  <w:num w:numId="12" w16cid:durableId="8454380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C25"/>
    <w:rsid w:val="0007147D"/>
    <w:rsid w:val="002A04BD"/>
    <w:rsid w:val="005C580C"/>
    <w:rsid w:val="00604390"/>
    <w:rsid w:val="007D2D8B"/>
    <w:rsid w:val="009A61D0"/>
    <w:rsid w:val="00CB01FA"/>
    <w:rsid w:val="00D95C25"/>
    <w:rsid w:val="00DB1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8C64B"/>
  <w15:chartTrackingRefBased/>
  <w15:docId w15:val="{64B6FB50-5DD1-9C40-881C-72572D41B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T Serif" w:eastAsiaTheme="minorHAnsi" w:hAnsi="PT Serif" w:cs="Times New Roman"/>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C25"/>
    <w:pPr>
      <w:jc w:val="both"/>
    </w:pPr>
  </w:style>
  <w:style w:type="paragraph" w:styleId="Heading1">
    <w:name w:val="heading 1"/>
    <w:basedOn w:val="Normal"/>
    <w:next w:val="Normal"/>
    <w:link w:val="Heading1Char"/>
    <w:uiPriority w:val="9"/>
    <w:qFormat/>
    <w:rsid w:val="00D95C25"/>
    <w:pPr>
      <w:keepNext/>
      <w:keepLines/>
      <w:spacing w:before="360" w:after="80"/>
      <w:jc w:val="center"/>
      <w:outlineLvl w:val="0"/>
    </w:pPr>
    <w:rPr>
      <w:rFonts w:ascii="Raleway" w:eastAsiaTheme="majorEastAsia" w:hAnsi="Raleway"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95C25"/>
    <w:pPr>
      <w:keepNext/>
      <w:keepLines/>
      <w:spacing w:before="160" w:after="80"/>
      <w:outlineLvl w:val="1"/>
    </w:pPr>
    <w:rPr>
      <w:rFonts w:ascii="Raleway" w:eastAsiaTheme="majorEastAsia" w:hAnsi="Raleway"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5C2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5C2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95C2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95C2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95C2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95C2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95C2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C25"/>
    <w:rPr>
      <w:rFonts w:ascii="Raleway" w:eastAsiaTheme="majorEastAsia" w:hAnsi="Raleway" w:cstheme="majorBidi"/>
      <w:color w:val="0F4761" w:themeColor="accent1" w:themeShade="BF"/>
      <w:sz w:val="40"/>
      <w:szCs w:val="40"/>
    </w:rPr>
  </w:style>
  <w:style w:type="character" w:customStyle="1" w:styleId="Heading2Char">
    <w:name w:val="Heading 2 Char"/>
    <w:basedOn w:val="DefaultParagraphFont"/>
    <w:link w:val="Heading2"/>
    <w:uiPriority w:val="9"/>
    <w:rsid w:val="00D95C25"/>
    <w:rPr>
      <w:rFonts w:ascii="Raleway" w:eastAsiaTheme="majorEastAsia" w:hAnsi="Raleway"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5C2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5C2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95C2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95C2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95C2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95C2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95C2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95C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5C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5C2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5C2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95C25"/>
    <w:pPr>
      <w:spacing w:before="160"/>
      <w:jc w:val="center"/>
    </w:pPr>
    <w:rPr>
      <w:i/>
      <w:iCs/>
      <w:color w:val="404040" w:themeColor="text1" w:themeTint="BF"/>
    </w:rPr>
  </w:style>
  <w:style w:type="character" w:customStyle="1" w:styleId="QuoteChar">
    <w:name w:val="Quote Char"/>
    <w:basedOn w:val="DefaultParagraphFont"/>
    <w:link w:val="Quote"/>
    <w:uiPriority w:val="29"/>
    <w:rsid w:val="00D95C25"/>
    <w:rPr>
      <w:i/>
      <w:iCs/>
      <w:color w:val="404040" w:themeColor="text1" w:themeTint="BF"/>
    </w:rPr>
  </w:style>
  <w:style w:type="paragraph" w:styleId="ListParagraph">
    <w:name w:val="List Paragraph"/>
    <w:basedOn w:val="Normal"/>
    <w:uiPriority w:val="34"/>
    <w:qFormat/>
    <w:rsid w:val="00D95C25"/>
    <w:pPr>
      <w:ind w:left="720"/>
      <w:contextualSpacing/>
    </w:pPr>
  </w:style>
  <w:style w:type="character" w:styleId="IntenseEmphasis">
    <w:name w:val="Intense Emphasis"/>
    <w:basedOn w:val="DefaultParagraphFont"/>
    <w:uiPriority w:val="21"/>
    <w:qFormat/>
    <w:rsid w:val="00D95C25"/>
    <w:rPr>
      <w:i/>
      <w:iCs/>
      <w:color w:val="0F4761" w:themeColor="accent1" w:themeShade="BF"/>
    </w:rPr>
  </w:style>
  <w:style w:type="paragraph" w:styleId="IntenseQuote">
    <w:name w:val="Intense Quote"/>
    <w:basedOn w:val="Normal"/>
    <w:next w:val="Normal"/>
    <w:link w:val="IntenseQuoteChar"/>
    <w:uiPriority w:val="30"/>
    <w:qFormat/>
    <w:rsid w:val="00D95C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5C25"/>
    <w:rPr>
      <w:i/>
      <w:iCs/>
      <w:color w:val="0F4761" w:themeColor="accent1" w:themeShade="BF"/>
    </w:rPr>
  </w:style>
  <w:style w:type="character" w:styleId="IntenseReference">
    <w:name w:val="Intense Reference"/>
    <w:basedOn w:val="DefaultParagraphFont"/>
    <w:uiPriority w:val="32"/>
    <w:qFormat/>
    <w:rsid w:val="00D95C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3BFD1563CE374999DEB750D78A4325" ma:contentTypeVersion="18" ma:contentTypeDescription="Create a new document." ma:contentTypeScope="" ma:versionID="0790a13b70b0c07acf7c604c7a2c0408">
  <xsd:schema xmlns:xsd="http://www.w3.org/2001/XMLSchema" xmlns:xs="http://www.w3.org/2001/XMLSchema" xmlns:p="http://schemas.microsoft.com/office/2006/metadata/properties" xmlns:ns2="65fc068b-01ab-4cf4-bc21-4846800c8b0b" xmlns:ns3="40707eb6-0391-426e-9505-70ec73040c66" targetNamespace="http://schemas.microsoft.com/office/2006/metadata/properties" ma:root="true" ma:fieldsID="b6985be0ec09e32edf43019c1787f7dd" ns2:_="" ns3:_="">
    <xsd:import namespace="65fc068b-01ab-4cf4-bc21-4846800c8b0b"/>
    <xsd:import namespace="40707eb6-0391-426e-9505-70ec73040c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c068b-01ab-4cf4-bc21-4846800c8b0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d0b6a04-c312-4d5b-9c91-8d0a5b7b81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0707eb6-0391-426e-9505-70ec73040c6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e995bc8-f121-4eaf-a8ef-51d3078c7a0f}" ma:internalName="TaxCatchAll" ma:showField="CatchAllData" ma:web="40707eb6-0391-426e-9505-70ec73040c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fc068b-01ab-4cf4-bc21-4846800c8b0b">
      <Terms xmlns="http://schemas.microsoft.com/office/infopath/2007/PartnerControls"/>
    </lcf76f155ced4ddcb4097134ff3c332f>
    <TaxCatchAll xmlns="40707eb6-0391-426e-9505-70ec73040c66" xsi:nil="true"/>
  </documentManagement>
</p:properties>
</file>

<file path=customXml/itemProps1.xml><?xml version="1.0" encoding="utf-8"?>
<ds:datastoreItem xmlns:ds="http://schemas.openxmlformats.org/officeDocument/2006/customXml" ds:itemID="{CC139F27-3B0D-4F55-8CA9-C8F6B92D721E}"/>
</file>

<file path=customXml/itemProps2.xml><?xml version="1.0" encoding="utf-8"?>
<ds:datastoreItem xmlns:ds="http://schemas.openxmlformats.org/officeDocument/2006/customXml" ds:itemID="{76EA50A0-F442-4CE8-97FF-617DF4B13AB8}"/>
</file>

<file path=customXml/itemProps3.xml><?xml version="1.0" encoding="utf-8"?>
<ds:datastoreItem xmlns:ds="http://schemas.openxmlformats.org/officeDocument/2006/customXml" ds:itemID="{6D859992-309F-4F47-A787-E1623034A81B}"/>
</file>

<file path=docProps/app.xml><?xml version="1.0" encoding="utf-8"?>
<Properties xmlns="http://schemas.openxmlformats.org/officeDocument/2006/extended-properties" xmlns:vt="http://schemas.openxmlformats.org/officeDocument/2006/docPropsVTypes">
  <Template>Normal.dotm</Template>
  <TotalTime>26</TotalTime>
  <Pages>4</Pages>
  <Words>1225</Words>
  <Characters>6989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3D Global Financial Services Ltd</Company>
  <LinksUpToDate>false</LinksUpToDate>
  <CharactersWithSpaces>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Nowell</dc:creator>
  <cp:keywords/>
  <dc:description/>
  <cp:lastModifiedBy>Mark Nowell</cp:lastModifiedBy>
  <cp:revision>1</cp:revision>
  <dcterms:created xsi:type="dcterms:W3CDTF">2026-01-22T10:59:00Z</dcterms:created>
  <dcterms:modified xsi:type="dcterms:W3CDTF">2026-01-22T11:27:00Z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0x010100683BFD1563CE374999DEB750D78A4325</vt:lpwstr>
  </property>
</Properties>
</file>